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sz w:val="16"/>
        </w:rPr>
      </w:pPr>
    </w:p>
    <w:p>
      <w:pPr>
        <w:spacing w:before="86"/>
        <w:ind w:left="1682" w:right="1706" w:firstLine="0"/>
        <w:jc w:val="center"/>
        <w:rPr>
          <w:sz w:val="32"/>
        </w:rPr>
      </w:pPr>
      <w:r>
        <w:rPr>
          <w:sz w:val="32"/>
        </w:rPr>
        <w:t>Drexel</w:t>
      </w:r>
      <w:r>
        <w:rPr>
          <w:spacing w:val="-4"/>
          <w:sz w:val="32"/>
        </w:rPr>
        <w:t> </w:t>
      </w:r>
      <w:r>
        <w:rPr>
          <w:sz w:val="32"/>
        </w:rPr>
        <w:t>University</w:t>
      </w:r>
      <w:r>
        <w:rPr>
          <w:spacing w:val="-2"/>
          <w:sz w:val="32"/>
        </w:rPr>
        <w:t> </w:t>
      </w:r>
      <w:r>
        <w:rPr>
          <w:sz w:val="32"/>
        </w:rPr>
        <w:t>Institutional</w:t>
      </w:r>
      <w:r>
        <w:rPr>
          <w:spacing w:val="-4"/>
          <w:sz w:val="32"/>
        </w:rPr>
        <w:t> </w:t>
      </w:r>
      <w:r>
        <w:rPr>
          <w:sz w:val="32"/>
        </w:rPr>
        <w:t>Animal</w:t>
      </w:r>
      <w:r>
        <w:rPr>
          <w:spacing w:val="-3"/>
          <w:sz w:val="32"/>
        </w:rPr>
        <w:t> </w:t>
      </w:r>
      <w:r>
        <w:rPr>
          <w:sz w:val="32"/>
        </w:rPr>
        <w:t>Care</w:t>
      </w:r>
      <w:r>
        <w:rPr>
          <w:spacing w:val="-2"/>
          <w:sz w:val="32"/>
        </w:rPr>
        <w:t> </w:t>
      </w:r>
      <w:r>
        <w:rPr>
          <w:sz w:val="32"/>
        </w:rPr>
        <w:t>and</w:t>
      </w:r>
      <w:r>
        <w:rPr>
          <w:spacing w:val="-77"/>
          <w:sz w:val="32"/>
        </w:rPr>
        <w:t> </w:t>
      </w:r>
      <w:r>
        <w:rPr>
          <w:sz w:val="32"/>
        </w:rPr>
        <w:t>Use</w:t>
      </w:r>
      <w:r>
        <w:rPr>
          <w:spacing w:val="-2"/>
          <w:sz w:val="32"/>
        </w:rPr>
        <w:t> </w:t>
      </w:r>
      <w:r>
        <w:rPr>
          <w:sz w:val="32"/>
        </w:rPr>
        <w:t>Committee</w:t>
      </w:r>
    </w:p>
    <w:p>
      <w:pPr>
        <w:pStyle w:val="Title"/>
      </w:pPr>
      <w:r>
        <w:rPr/>
        <w:t>Veterinary</w:t>
      </w:r>
      <w:r>
        <w:rPr>
          <w:spacing w:val="-1"/>
        </w:rPr>
        <w:t> </w:t>
      </w:r>
      <w:r>
        <w:rPr/>
        <w:t>Verification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Consultation</w:t>
      </w:r>
      <w:r>
        <w:rPr>
          <w:spacing w:val="1"/>
        </w:rPr>
        <w:t> </w:t>
      </w:r>
      <w:r>
        <w:rPr/>
        <w:t>(VVC)</w:t>
      </w:r>
      <w:r>
        <w:rPr>
          <w:spacing w:val="-1"/>
        </w:rPr>
        <w:t> </w:t>
      </w:r>
      <w:r>
        <w:rPr/>
        <w:t>Policy</w:t>
      </w:r>
    </w:p>
    <w:p>
      <w:pPr>
        <w:pStyle w:val="BodyText"/>
        <w:spacing w:line="252" w:lineRule="exact" w:before="249"/>
        <w:ind w:left="100"/>
      </w:pPr>
      <w:r>
        <w:rPr>
          <w:b/>
        </w:rPr>
        <w:t>OBJECTIVE:</w:t>
      </w:r>
      <w:r>
        <w:rPr>
          <w:b/>
          <w:spacing w:val="-4"/>
        </w:rPr>
        <w:t> </w:t>
      </w:r>
      <w:r>
        <w:rPr/>
        <w:t>This</w:t>
      </w:r>
      <w:r>
        <w:rPr>
          <w:spacing w:val="-1"/>
        </w:rPr>
        <w:t> </w:t>
      </w:r>
      <w:r>
        <w:rPr/>
        <w:t>Policy</w:t>
      </w:r>
      <w:r>
        <w:rPr>
          <w:spacing w:val="-6"/>
        </w:rPr>
        <w:t> </w:t>
      </w:r>
      <w:r>
        <w:rPr/>
        <w:t>will</w:t>
      </w:r>
      <w:r>
        <w:rPr>
          <w:spacing w:val="-3"/>
        </w:rPr>
        <w:t> </w:t>
      </w:r>
      <w:r>
        <w:rPr/>
        <w:t>allow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certain</w:t>
      </w:r>
      <w:r>
        <w:rPr>
          <w:spacing w:val="-1"/>
        </w:rPr>
        <w:t> </w:t>
      </w:r>
      <w:r>
        <w:rPr/>
        <w:t>significant</w:t>
      </w:r>
      <w:r>
        <w:rPr>
          <w:spacing w:val="-3"/>
        </w:rPr>
        <w:t> </w:t>
      </w:r>
      <w:r>
        <w:rPr/>
        <w:t>changes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3"/>
        </w:rPr>
        <w:t> </w:t>
      </w:r>
      <w:r>
        <w:rPr/>
        <w:t>preapproved</w:t>
      </w:r>
      <w:r>
        <w:rPr>
          <w:spacing w:val="-1"/>
        </w:rPr>
        <w:t> </w:t>
      </w:r>
      <w:r>
        <w:rPr/>
        <w:t>by</w:t>
      </w:r>
    </w:p>
    <w:p>
      <w:pPr>
        <w:pStyle w:val="BodyText"/>
        <w:ind w:left="100"/>
      </w:pPr>
      <w:r>
        <w:rPr/>
        <w:t>the IACUC and verified by the institution’s Attending Veterinarian. This policy will facilitate and speed</w:t>
      </w:r>
      <w:r>
        <w:rPr>
          <w:spacing w:val="1"/>
        </w:rPr>
        <w:t> </w:t>
      </w:r>
      <w:r>
        <w:rPr/>
        <w:t>protocol</w:t>
      </w:r>
      <w:r>
        <w:rPr>
          <w:spacing w:val="-3"/>
        </w:rPr>
        <w:t> </w:t>
      </w:r>
      <w:r>
        <w:rPr/>
        <w:t>revisions,</w:t>
      </w:r>
      <w:r>
        <w:rPr>
          <w:spacing w:val="-1"/>
        </w:rPr>
        <w:t> </w:t>
      </w:r>
      <w:r>
        <w:rPr/>
        <w:t>improve</w:t>
      </w:r>
      <w:r>
        <w:rPr>
          <w:spacing w:val="-2"/>
        </w:rPr>
        <w:t> </w:t>
      </w:r>
      <w:r>
        <w:rPr/>
        <w:t>compliance,</w:t>
      </w:r>
      <w:r>
        <w:rPr>
          <w:spacing w:val="-1"/>
        </w:rPr>
        <w:t> </w:t>
      </w:r>
      <w:r>
        <w:rPr/>
        <w:t>and</w:t>
      </w:r>
      <w:r>
        <w:rPr>
          <w:spacing w:val="-5"/>
        </w:rPr>
        <w:t> </w:t>
      </w:r>
      <w:r>
        <w:rPr/>
        <w:t>reduce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regulatory</w:t>
      </w:r>
      <w:r>
        <w:rPr>
          <w:spacing w:val="-4"/>
        </w:rPr>
        <w:t> </w:t>
      </w:r>
      <w:r>
        <w:rPr/>
        <w:t>burden,</w:t>
      </w:r>
      <w:r>
        <w:rPr>
          <w:spacing w:val="-2"/>
        </w:rPr>
        <w:t> </w:t>
      </w:r>
      <w:r>
        <w:rPr/>
        <w:t>while</w:t>
      </w:r>
      <w:r>
        <w:rPr>
          <w:spacing w:val="-3"/>
        </w:rPr>
        <w:t> </w:t>
      </w:r>
      <w:r>
        <w:rPr/>
        <w:t>ensuring</w:t>
      </w:r>
      <w:r>
        <w:rPr>
          <w:spacing w:val="-5"/>
        </w:rPr>
        <w:t> </w:t>
      </w:r>
      <w:r>
        <w:rPr/>
        <w:t>animal</w:t>
      </w:r>
      <w:r>
        <w:rPr>
          <w:spacing w:val="7"/>
        </w:rPr>
        <w:t> </w:t>
      </w:r>
      <w:r>
        <w:rPr/>
        <w:t>welfare.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0" w:right="562"/>
        <w:jc w:val="both"/>
      </w:pPr>
      <w:r>
        <w:rPr>
          <w:b/>
        </w:rPr>
        <w:t>REGULATION</w:t>
      </w:r>
      <w:r>
        <w:rPr/>
        <w:t>: In August 2014, OLAW provided new guidance on Significant Changes to Animal</w:t>
      </w:r>
      <w:r>
        <w:rPr>
          <w:spacing w:val="-53"/>
        </w:rPr>
        <w:t> </w:t>
      </w:r>
      <w:r>
        <w:rPr/>
        <w:t>Activities NOT-OD-14-126 in an effort to support the use of performance standards and professional</w:t>
      </w:r>
      <w:r>
        <w:rPr>
          <w:spacing w:val="-52"/>
        </w:rPr>
        <w:t> </w:t>
      </w:r>
      <w:r>
        <w:rPr/>
        <w:t>judgment and to</w:t>
      </w:r>
      <w:r>
        <w:rPr>
          <w:spacing w:val="-3"/>
        </w:rPr>
        <w:t> </w:t>
      </w:r>
      <w:r>
        <w:rPr/>
        <w:t>reduce</w:t>
      </w:r>
      <w:r>
        <w:rPr>
          <w:spacing w:val="-2"/>
        </w:rPr>
        <w:t> </w:t>
      </w:r>
      <w:r>
        <w:rPr/>
        <w:t>regulatory</w:t>
      </w:r>
      <w:r>
        <w:rPr>
          <w:spacing w:val="-3"/>
        </w:rPr>
        <w:t> </w:t>
      </w:r>
      <w:r>
        <w:rPr/>
        <w:t>burden.</w:t>
      </w:r>
    </w:p>
    <w:p>
      <w:pPr>
        <w:pStyle w:val="BodyText"/>
        <w:spacing w:before="1"/>
      </w:pPr>
    </w:p>
    <w:p>
      <w:pPr>
        <w:pStyle w:val="BodyText"/>
        <w:spacing w:before="1"/>
        <w:ind w:left="100"/>
      </w:pPr>
      <w:r>
        <w:rPr>
          <w:b/>
        </w:rPr>
        <w:t>POLICY</w:t>
      </w:r>
      <w:r>
        <w:rPr/>
        <w:t>: All changes to approved procedures in an IACUC protocol must undergo appropriate review</w:t>
      </w:r>
      <w:r>
        <w:rPr>
          <w:spacing w:val="1"/>
        </w:rPr>
        <w:t> </w:t>
      </w:r>
      <w:r>
        <w:rPr/>
        <w:t>processes</w:t>
      </w:r>
      <w:r>
        <w:rPr>
          <w:spacing w:val="-2"/>
        </w:rPr>
        <w:t> </w:t>
      </w:r>
      <w:r>
        <w:rPr/>
        <w:t>prior</w:t>
      </w:r>
      <w:r>
        <w:rPr>
          <w:spacing w:val="-2"/>
        </w:rPr>
        <w:t> </w:t>
      </w:r>
      <w:r>
        <w:rPr/>
        <w:t>to</w:t>
      </w:r>
      <w:r>
        <w:rPr>
          <w:spacing w:val="-5"/>
        </w:rPr>
        <w:t> </w:t>
      </w:r>
      <w:r>
        <w:rPr/>
        <w:t>implementing</w:t>
      </w:r>
      <w:r>
        <w:rPr>
          <w:spacing w:val="-4"/>
        </w:rPr>
        <w:t> </w:t>
      </w:r>
      <w:r>
        <w:rPr/>
        <w:t>those</w:t>
      </w:r>
      <w:r>
        <w:rPr>
          <w:spacing w:val="-4"/>
        </w:rPr>
        <w:t> </w:t>
      </w:r>
      <w:r>
        <w:rPr/>
        <w:t>changes.</w:t>
      </w:r>
      <w:r>
        <w:rPr>
          <w:spacing w:val="1"/>
        </w:rPr>
        <w:t> </w:t>
      </w:r>
      <w:r>
        <w:rPr/>
        <w:t>At</w:t>
      </w:r>
      <w:r>
        <w:rPr>
          <w:spacing w:val="-4"/>
        </w:rPr>
        <w:t> </w:t>
      </w:r>
      <w:r>
        <w:rPr/>
        <w:t>Drexel</w:t>
      </w:r>
      <w:r>
        <w:rPr>
          <w:spacing w:val="-1"/>
        </w:rPr>
        <w:t> </w:t>
      </w:r>
      <w:r>
        <w:rPr/>
        <w:t>University,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following</w:t>
      </w:r>
      <w:r>
        <w:rPr>
          <w:spacing w:val="-5"/>
        </w:rPr>
        <w:t> </w:t>
      </w:r>
      <w:r>
        <w:rPr/>
        <w:t>significant</w:t>
      </w:r>
      <w:r>
        <w:rPr>
          <w:spacing w:val="-4"/>
        </w:rPr>
        <w:t> </w:t>
      </w:r>
      <w:r>
        <w:rPr/>
        <w:t>changes</w:t>
      </w:r>
      <w:r>
        <w:rPr>
          <w:spacing w:val="-3"/>
        </w:rPr>
        <w:t> </w:t>
      </w:r>
      <w:r>
        <w:rPr/>
        <w:t>to</w:t>
      </w:r>
      <w:r>
        <w:rPr>
          <w:spacing w:val="-52"/>
        </w:rPr>
        <w:t> </w:t>
      </w:r>
      <w:r>
        <w:rPr/>
        <w:t>an IACUC protocol may be handled administratively without review by full committee or designated</w:t>
      </w:r>
      <w:r>
        <w:rPr>
          <w:spacing w:val="1"/>
        </w:rPr>
        <w:t> </w:t>
      </w:r>
      <w:r>
        <w:rPr/>
        <w:t>member review. The Drexel University Attending Veterinarian may administratively approve changes</w:t>
      </w:r>
      <w:r>
        <w:rPr>
          <w:spacing w:val="1"/>
        </w:rPr>
        <w:t> </w:t>
      </w:r>
      <w:r>
        <w:rPr/>
        <w:t>through Veterinary Verification and Consultation (VVC) only if the veterinarian verifies that the changes</w:t>
      </w:r>
      <w:r>
        <w:rPr>
          <w:spacing w:val="1"/>
        </w:rPr>
        <w:t> </w:t>
      </w:r>
      <w:r>
        <w:rPr/>
        <w:t>are</w:t>
      </w:r>
      <w:r>
        <w:rPr>
          <w:spacing w:val="-1"/>
        </w:rPr>
        <w:t> </w:t>
      </w:r>
      <w:r>
        <w:rPr/>
        <w:t>consistent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 following: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301" w:hanging="360"/>
        <w:jc w:val="left"/>
        <w:rPr>
          <w:sz w:val="22"/>
        </w:rPr>
      </w:pPr>
      <w:r>
        <w:rPr>
          <w:sz w:val="22"/>
        </w:rPr>
        <w:t>Changes in anesthesia, analgesia, or sedation to drugs and species based dosages as described in</w:t>
      </w:r>
      <w:r>
        <w:rPr>
          <w:spacing w:val="-5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ULAR</w:t>
      </w:r>
      <w:r>
        <w:rPr>
          <w:spacing w:val="-2"/>
          <w:sz w:val="22"/>
        </w:rPr>
        <w:t> </w:t>
      </w:r>
      <w:r>
        <w:rPr>
          <w:sz w:val="22"/>
        </w:rPr>
        <w:t>“Drug</w:t>
      </w:r>
      <w:r>
        <w:rPr>
          <w:spacing w:val="-3"/>
          <w:sz w:val="22"/>
        </w:rPr>
        <w:t> </w:t>
      </w:r>
      <w:r>
        <w:rPr>
          <w:sz w:val="22"/>
        </w:rPr>
        <w:t>Formulary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Anesthetic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Analgesic</w:t>
      </w:r>
      <w:r>
        <w:rPr>
          <w:spacing w:val="-1"/>
          <w:sz w:val="22"/>
        </w:rPr>
        <w:t> </w:t>
      </w:r>
      <w:r>
        <w:rPr>
          <w:sz w:val="22"/>
        </w:rPr>
        <w:t>Agents</w:t>
      </w:r>
      <w:r>
        <w:rPr>
          <w:spacing w:val="-1"/>
          <w:sz w:val="22"/>
        </w:rPr>
        <w:t> </w:t>
      </w:r>
      <w:r>
        <w:rPr>
          <w:sz w:val="22"/>
        </w:rPr>
        <w:t>for Laboratory</w:t>
      </w:r>
      <w:r>
        <w:rPr>
          <w:spacing w:val="-6"/>
          <w:sz w:val="22"/>
        </w:rPr>
        <w:t> </w:t>
      </w:r>
      <w:r>
        <w:rPr>
          <w:sz w:val="22"/>
        </w:rPr>
        <w:t>Animals”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426" w:hanging="360"/>
        <w:jc w:val="left"/>
        <w:rPr>
          <w:sz w:val="22"/>
        </w:rPr>
      </w:pPr>
      <w:r>
        <w:rPr>
          <w:sz w:val="22"/>
        </w:rPr>
        <w:t>Changes to euthanasia to any method acceptable or acceptable with conditions approved in the</w:t>
      </w:r>
      <w:r>
        <w:rPr>
          <w:spacing w:val="-52"/>
          <w:sz w:val="22"/>
        </w:rPr>
        <w:t> </w:t>
      </w:r>
      <w:r>
        <w:rPr>
          <w:sz w:val="22"/>
        </w:rPr>
        <w:t>current AVMA Guidelines for the Euthanasia of Animals if those conditions and appropriate</w:t>
      </w:r>
      <w:r>
        <w:rPr>
          <w:spacing w:val="1"/>
          <w:sz w:val="22"/>
        </w:rPr>
        <w:t> </w:t>
      </w:r>
      <w:r>
        <w:rPr>
          <w:sz w:val="22"/>
        </w:rPr>
        <w:t>training</w:t>
      </w:r>
      <w:r>
        <w:rPr>
          <w:spacing w:val="-3"/>
          <w:sz w:val="22"/>
        </w:rPr>
        <w:t> </w:t>
      </w:r>
      <w:r>
        <w:rPr>
          <w:sz w:val="22"/>
        </w:rPr>
        <w:t>requirements</w:t>
      </w:r>
      <w:r>
        <w:rPr>
          <w:spacing w:val="-1"/>
          <w:sz w:val="22"/>
        </w:rPr>
        <w:t> </w:t>
      </w:r>
      <w:r>
        <w:rPr>
          <w:sz w:val="22"/>
        </w:rPr>
        <w:t>have been met.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437" w:hanging="360"/>
        <w:jc w:val="left"/>
        <w:rPr>
          <w:sz w:val="22"/>
        </w:rPr>
      </w:pPr>
      <w:r>
        <w:rPr>
          <w:sz w:val="22"/>
        </w:rPr>
        <w:t>Changes in duration, frequency, type, or number of procedures performed on an animal which</w:t>
      </w:r>
      <w:r>
        <w:rPr>
          <w:spacing w:val="-52"/>
          <w:sz w:val="22"/>
        </w:rPr>
        <w:t> </w:t>
      </w:r>
      <w:r>
        <w:rPr>
          <w:sz w:val="22"/>
        </w:rPr>
        <w:t>adhere to established policies reviewed and approved by the IACUC.</w:t>
      </w:r>
      <w:r>
        <w:rPr>
          <w:spacing w:val="1"/>
          <w:sz w:val="22"/>
        </w:rPr>
        <w:t> </w:t>
      </w:r>
      <w:r>
        <w:rPr>
          <w:sz w:val="22"/>
        </w:rPr>
        <w:t>Significant changes</w:t>
      </w:r>
      <w:r>
        <w:rPr>
          <w:spacing w:val="1"/>
          <w:sz w:val="22"/>
        </w:rPr>
        <w:t> </w:t>
      </w:r>
      <w:r>
        <w:rPr>
          <w:sz w:val="22"/>
        </w:rPr>
        <w:t>regarding the duration, frequency, type, and number of procedures performed must not be new</w:t>
      </w:r>
      <w:r>
        <w:rPr>
          <w:spacing w:val="-53"/>
          <w:sz w:val="22"/>
        </w:rPr>
        <w:t> </w:t>
      </w:r>
      <w:r>
        <w:rPr>
          <w:sz w:val="22"/>
        </w:rPr>
        <w:t>procedures that are added to the protocol.</w:t>
      </w:r>
      <w:r>
        <w:rPr>
          <w:spacing w:val="1"/>
          <w:sz w:val="22"/>
        </w:rPr>
        <w:t> </w:t>
      </w:r>
      <w:r>
        <w:rPr>
          <w:sz w:val="22"/>
        </w:rPr>
        <w:t>All new procedures must have IACUC approval</w:t>
      </w:r>
      <w:r>
        <w:rPr>
          <w:spacing w:val="1"/>
          <w:sz w:val="22"/>
        </w:rPr>
        <w:t> </w:t>
      </w:r>
      <w:r>
        <w:rPr>
          <w:sz w:val="22"/>
        </w:rPr>
        <w:t>through</w:t>
      </w:r>
      <w:r>
        <w:rPr>
          <w:spacing w:val="-1"/>
          <w:sz w:val="22"/>
        </w:rPr>
        <w:t> </w:t>
      </w:r>
      <w:r>
        <w:rPr>
          <w:sz w:val="22"/>
        </w:rPr>
        <w:t>the FCR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DMR</w:t>
      </w:r>
      <w:r>
        <w:rPr>
          <w:spacing w:val="-3"/>
          <w:sz w:val="22"/>
        </w:rPr>
        <w:t> </w:t>
      </w:r>
      <w:r>
        <w:rPr>
          <w:sz w:val="22"/>
        </w:rPr>
        <w:t>method.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00" w:right="112"/>
      </w:pPr>
      <w:r>
        <w:rPr/>
        <w:t>The significant changes described above may be handled administratively according to IACUC-reviewed</w:t>
      </w:r>
      <w:r>
        <w:rPr>
          <w:spacing w:val="1"/>
        </w:rPr>
        <w:t> </w:t>
      </w:r>
      <w:r>
        <w:rPr/>
        <w:t>and -approved policies in consultation with a veterinarian authorized by the IACUC. The veterinarian is</w:t>
      </w:r>
      <w:r>
        <w:rPr>
          <w:spacing w:val="1"/>
        </w:rPr>
        <w:t> </w:t>
      </w:r>
      <w:r>
        <w:rPr/>
        <w:t>not conducting Designated Member Review, but is serving as a subject matter expert to verify compliance</w:t>
      </w:r>
      <w:r>
        <w:rPr>
          <w:spacing w:val="-53"/>
        </w:rPr>
        <w:t> </w:t>
      </w:r>
      <w:r>
        <w:rPr/>
        <w:t>with this policy.</w:t>
      </w:r>
      <w:r>
        <w:rPr>
          <w:spacing w:val="1"/>
        </w:rPr>
        <w:t> </w:t>
      </w:r>
      <w:r>
        <w:rPr/>
        <w:t>This VVC policy does not supersede or affect the veterinarian’s role to institute</w:t>
      </w:r>
      <w:r>
        <w:rPr>
          <w:spacing w:val="1"/>
        </w:rPr>
        <w:t> </w:t>
      </w:r>
      <w:r>
        <w:rPr/>
        <w:t>immediate medical actions or treatments which would relieve pain or distress to an animal, or to provide</w:t>
      </w:r>
      <w:r>
        <w:rPr>
          <w:spacing w:val="1"/>
        </w:rPr>
        <w:t> </w:t>
      </w:r>
      <w:r>
        <w:rPr/>
        <w:t>clinical</w:t>
      </w:r>
      <w:r>
        <w:rPr>
          <w:spacing w:val="-3"/>
        </w:rPr>
        <w:t> </w:t>
      </w:r>
      <w:r>
        <w:rPr/>
        <w:t>care separate from</w:t>
      </w:r>
      <w:r>
        <w:rPr>
          <w:spacing w:val="-4"/>
        </w:rPr>
        <w:t> </w:t>
      </w:r>
      <w:r>
        <w:rPr/>
        <w:t>the protocol.</w:t>
      </w:r>
    </w:p>
    <w:p>
      <w:pPr>
        <w:pStyle w:val="BodyText"/>
      </w:pPr>
    </w:p>
    <w:p>
      <w:pPr>
        <w:pStyle w:val="BodyText"/>
        <w:spacing w:before="1"/>
        <w:ind w:left="100" w:right="115"/>
      </w:pPr>
      <w:r>
        <w:rPr/>
        <w:t>To</w:t>
      </w:r>
      <w:r>
        <w:rPr>
          <w:spacing w:val="-1"/>
        </w:rPr>
        <w:t> </w:t>
      </w:r>
      <w:r>
        <w:rPr/>
        <w:t>initiate</w:t>
      </w:r>
      <w:r>
        <w:rPr>
          <w:spacing w:val="2"/>
        </w:rPr>
        <w:t> </w:t>
      </w:r>
      <w:r>
        <w:rPr/>
        <w:t>the VVC</w:t>
      </w:r>
      <w:r>
        <w:rPr>
          <w:spacing w:val="-2"/>
        </w:rPr>
        <w:t> </w:t>
      </w:r>
      <w:r>
        <w:rPr/>
        <w:t>process,</w:t>
      </w:r>
      <w:r>
        <w:rPr>
          <w:spacing w:val="2"/>
        </w:rPr>
        <w:t> </w:t>
      </w:r>
      <w:r>
        <w:rPr/>
        <w:t>the PI must</w:t>
      </w:r>
      <w:r>
        <w:rPr>
          <w:spacing w:val="3"/>
        </w:rPr>
        <w:t> </w:t>
      </w:r>
      <w:r>
        <w:rPr/>
        <w:t>complete</w:t>
      </w:r>
      <w:r>
        <w:rPr>
          <w:spacing w:val="2"/>
        </w:rPr>
        <w:t> </w:t>
      </w:r>
      <w:r>
        <w:rPr/>
        <w:t>an</w:t>
      </w:r>
      <w:r>
        <w:rPr>
          <w:spacing w:val="-1"/>
        </w:rPr>
        <w:t> </w:t>
      </w:r>
      <w:r>
        <w:rPr/>
        <w:t>Amendment</w:t>
      </w:r>
      <w:r>
        <w:rPr>
          <w:spacing w:val="2"/>
        </w:rPr>
        <w:t> </w:t>
      </w:r>
      <w:r>
        <w:rPr/>
        <w:t>Form</w:t>
      </w:r>
      <w:r>
        <w:rPr>
          <w:spacing w:val="-1"/>
        </w:rPr>
        <w:t> </w:t>
      </w:r>
      <w:r>
        <w:rPr/>
        <w:t>detailing</w:t>
      </w:r>
      <w:r>
        <w:rPr>
          <w:spacing w:val="-3"/>
        </w:rPr>
        <w:t> </w:t>
      </w:r>
      <w:r>
        <w:rPr/>
        <w:t>the requested</w:t>
      </w:r>
      <w:r>
        <w:rPr>
          <w:spacing w:val="2"/>
        </w:rPr>
        <w:t> </w:t>
      </w:r>
      <w:r>
        <w:rPr/>
        <w:t>changes</w:t>
      </w:r>
      <w:r>
        <w:rPr>
          <w:spacing w:val="1"/>
        </w:rPr>
        <w:t> </w:t>
      </w:r>
      <w:r>
        <w:rPr/>
        <w:t>to the protocol and submit it to the Office of Research. If the amendment meets the criteria for the VVC</w:t>
      </w:r>
      <w:r>
        <w:rPr>
          <w:spacing w:val="1"/>
        </w:rPr>
        <w:t> </w:t>
      </w:r>
      <w:r>
        <w:rPr/>
        <w:t>process, the amendment request will be forwarded to the veterinarian. The veterinarian will verify to the</w:t>
      </w:r>
      <w:r>
        <w:rPr>
          <w:spacing w:val="1"/>
        </w:rPr>
        <w:t> </w:t>
      </w:r>
      <w:r>
        <w:rPr/>
        <w:t>Office of Research in writing that consultation with the PI occurred and that the changes meet the criteria</w:t>
      </w:r>
      <w:r>
        <w:rPr>
          <w:spacing w:val="1"/>
        </w:rPr>
        <w:t> </w:t>
      </w:r>
      <w:r>
        <w:rPr/>
        <w:t>set forth in</w:t>
      </w:r>
      <w:r>
        <w:rPr>
          <w:spacing w:val="2"/>
        </w:rPr>
        <w:t> </w:t>
      </w:r>
      <w:r>
        <w:rPr/>
        <w:t>this</w:t>
      </w:r>
      <w:r>
        <w:rPr>
          <w:spacing w:val="1"/>
        </w:rPr>
        <w:t> </w:t>
      </w:r>
      <w:r>
        <w:rPr/>
        <w:t>policy. The veterinarian</w:t>
      </w:r>
      <w:r>
        <w:rPr>
          <w:spacing w:val="2"/>
        </w:rPr>
        <w:t> </w:t>
      </w:r>
      <w:r>
        <w:rPr/>
        <w:t>may refer</w:t>
      </w:r>
      <w:r>
        <w:rPr>
          <w:spacing w:val="3"/>
        </w:rPr>
        <w:t> </w:t>
      </w:r>
      <w:r>
        <w:rPr/>
        <w:t>any request</w:t>
      </w:r>
      <w:r>
        <w:rPr>
          <w:spacing w:val="3"/>
        </w:rPr>
        <w:t> </w:t>
      </w:r>
      <w:r>
        <w:rPr/>
        <w:t>to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/>
        <w:t>IACUC</w:t>
      </w:r>
      <w:r>
        <w:rPr>
          <w:spacing w:val="1"/>
        </w:rPr>
        <w:t> </w:t>
      </w:r>
      <w:r>
        <w:rPr/>
        <w:t>for</w:t>
      </w:r>
      <w:r>
        <w:rPr>
          <w:spacing w:val="2"/>
        </w:rPr>
        <w:t> </w:t>
      </w:r>
      <w:r>
        <w:rPr/>
        <w:t>review</w:t>
      </w:r>
      <w:r>
        <w:rPr>
          <w:spacing w:val="2"/>
        </w:rPr>
        <w:t> </w:t>
      </w:r>
      <w:r>
        <w:rPr/>
        <w:t>for</w:t>
      </w:r>
      <w:r>
        <w:rPr>
          <w:spacing w:val="4"/>
        </w:rPr>
        <w:t> </w:t>
      </w:r>
      <w:r>
        <w:rPr/>
        <w:t>any</w:t>
      </w:r>
      <w:r>
        <w:rPr>
          <w:spacing w:val="-1"/>
        </w:rPr>
        <w:t> </w:t>
      </w:r>
      <w:r>
        <w:rPr/>
        <w:t>reason</w:t>
      </w:r>
      <w:r>
        <w:rPr>
          <w:spacing w:val="1"/>
        </w:rPr>
        <w:t> </w:t>
      </w:r>
      <w:r>
        <w:rPr/>
        <w:t>and must refer any request that does not meet the parameters of this policy. Amendments approved by this</w:t>
      </w:r>
      <w:r>
        <w:rPr>
          <w:spacing w:val="-52"/>
        </w:rPr>
        <w:t> </w:t>
      </w:r>
      <w:r>
        <w:rPr/>
        <w:t>VVC</w:t>
      </w:r>
      <w:r>
        <w:rPr>
          <w:spacing w:val="-2"/>
        </w:rPr>
        <w:t> </w:t>
      </w:r>
      <w:r>
        <w:rPr/>
        <w:t>policy</w:t>
      </w:r>
      <w:r>
        <w:rPr>
          <w:spacing w:val="-2"/>
        </w:rPr>
        <w:t> </w:t>
      </w:r>
      <w:r>
        <w:rPr/>
        <w:t>will</w:t>
      </w:r>
      <w:r>
        <w:rPr>
          <w:spacing w:val="1"/>
        </w:rPr>
        <w:t> </w:t>
      </w:r>
      <w:r>
        <w:rPr/>
        <w:t>be</w:t>
      </w:r>
      <w:r>
        <w:rPr>
          <w:spacing w:val="-2"/>
        </w:rPr>
        <w:t> </w:t>
      </w:r>
      <w:r>
        <w:rPr/>
        <w:t>reported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full</w:t>
      </w:r>
      <w:r>
        <w:rPr>
          <w:spacing w:val="1"/>
        </w:rPr>
        <w:t> </w:t>
      </w:r>
      <w:r>
        <w:rPr/>
        <w:t>IACUC</w:t>
      </w:r>
      <w:r>
        <w:rPr>
          <w:spacing w:val="-1"/>
        </w:rPr>
        <w:t> </w:t>
      </w:r>
      <w:r>
        <w:rPr/>
        <w:t>at the</w:t>
      </w:r>
      <w:r>
        <w:rPr>
          <w:spacing w:val="-1"/>
        </w:rPr>
        <w:t> </w:t>
      </w:r>
      <w:r>
        <w:rPr/>
        <w:t>next</w:t>
      </w:r>
      <w:r>
        <w:rPr>
          <w:spacing w:val="-1"/>
        </w:rPr>
        <w:t> </w:t>
      </w:r>
      <w:r>
        <w:rPr/>
        <w:t>convened meeting.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0"/>
      </w:pPr>
      <w:r>
        <w:rPr/>
        <w:t>Last</w:t>
      </w:r>
      <w:r>
        <w:rPr>
          <w:spacing w:val="2"/>
        </w:rPr>
        <w:t> </w:t>
      </w:r>
      <w:r>
        <w:rPr/>
        <w:t>Review</w:t>
      </w:r>
      <w:r>
        <w:rPr>
          <w:spacing w:val="3"/>
        </w:rPr>
        <w:t> </w:t>
      </w:r>
      <w:r>
        <w:rPr/>
        <w:t>Date:</w:t>
      </w:r>
      <w:r>
        <w:rPr>
          <w:spacing w:val="2"/>
        </w:rPr>
        <w:t> </w:t>
      </w:r>
      <w:r>
        <w:rPr/>
        <w:t>06/2021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2240" w:h="15840"/>
          <w:pgMar w:header="720" w:footer="1142" w:top="2060" w:bottom="1340" w:left="1340" w:right="1320"/>
          <w:pgNumType w:start="1"/>
        </w:sectPr>
      </w:pPr>
    </w:p>
    <w:p>
      <w:pPr>
        <w:pStyle w:val="BodyText"/>
        <w:spacing w:before="4"/>
        <w:rPr>
          <w:sz w:val="17"/>
        </w:rPr>
      </w:pPr>
    </w:p>
    <w:sectPr>
      <w:pgSz w:w="12240" w:h="15840"/>
      <w:pgMar w:header="720" w:footer="1142" w:top="2060" w:bottom="134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Georgia">
    <w:altName w:val="Georg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60.419998pt;margin-top:723.923523pt;width:291.25pt;height:19.150pt;mso-position-horizontal-relative:page;mso-position-vertical-relative:page;z-index:-15761920" type="#_x0000_t202" id="docshape2" filled="false" stroked="false">
          <v:textbox inset="0,0,0,0">
            <w:txbxContent>
              <w:p>
                <w:pPr>
                  <w:spacing w:before="21"/>
                  <w:ind w:left="1532" w:right="5" w:hanging="1513"/>
                  <w:jc w:val="left"/>
                  <w:rPr>
                    <w:rFonts w:ascii="Georgia"/>
                    <w:sz w:val="15"/>
                  </w:rPr>
                </w:pPr>
                <w:r>
                  <w:rPr>
                    <w:rFonts w:ascii="Georgia"/>
                    <w:color w:val="0A2B52"/>
                    <w:sz w:val="15"/>
                  </w:rPr>
                  <w:t>1505 Race Street, Bellet Building, 10th floor, </w:t>
                </w:r>
                <w:r>
                  <w:rPr>
                    <w:rFonts w:ascii="Georgia"/>
                    <w:color w:val="0F233D"/>
                    <w:sz w:val="15"/>
                  </w:rPr>
                  <w:t>Philadelphia, PA 19102 | Tel: 215.762.2913</w:t>
                </w:r>
                <w:r>
                  <w:rPr>
                    <w:rFonts w:ascii="Georgia"/>
                    <w:color w:val="0F233D"/>
                    <w:spacing w:val="-34"/>
                    <w:sz w:val="15"/>
                  </w:rPr>
                  <w:t> </w:t>
                </w:r>
                <w:hyperlink r:id="rId1">
                  <w:r>
                    <w:rPr>
                      <w:rFonts w:ascii="Georgia"/>
                      <w:color w:val="0F233D"/>
                      <w:sz w:val="15"/>
                    </w:rPr>
                    <w:t>IACUC@drexel.edu</w:t>
                  </w:r>
                  <w:r>
                    <w:rPr>
                      <w:rFonts w:ascii="Georgia"/>
                      <w:color w:val="0F233D"/>
                      <w:spacing w:val="-2"/>
                      <w:sz w:val="15"/>
                    </w:rPr>
                    <w:t> </w:t>
                  </w:r>
                </w:hyperlink>
                <w:r>
                  <w:rPr>
                    <w:rFonts w:ascii="Georgia"/>
                    <w:color w:val="0F233D"/>
                    <w:sz w:val="15"/>
                  </w:rPr>
                  <w:t>| </w:t>
                </w:r>
                <w:hyperlink r:id="rId2">
                  <w:r>
                    <w:rPr>
                      <w:rFonts w:ascii="Georgia"/>
                      <w:color w:val="0F233D"/>
                      <w:sz w:val="15"/>
                    </w:rPr>
                    <w:t>drexel.edu/research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53024">
          <wp:simplePos x="0" y="0"/>
          <wp:positionH relativeFrom="page">
            <wp:posOffset>914504</wp:posOffset>
          </wp:positionH>
          <wp:positionV relativeFrom="page">
            <wp:posOffset>457098</wp:posOffset>
          </wp:positionV>
          <wp:extent cx="1616469" cy="411539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16469" cy="4115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53536">
          <wp:simplePos x="0" y="0"/>
          <wp:positionH relativeFrom="page">
            <wp:posOffset>1553952</wp:posOffset>
          </wp:positionH>
          <wp:positionV relativeFrom="page">
            <wp:posOffset>974159</wp:posOffset>
          </wp:positionV>
          <wp:extent cx="902687" cy="120038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02687" cy="1200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91.988243pt;width:101.85pt;height:12.6pt;mso-position-horizontal-relative:page;mso-position-vertical-relative:page;z-index:-15762432" type="#_x0000_t202" id="docshape1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ambria"/>
                    <w:sz w:val="18"/>
                  </w:rPr>
                </w:pPr>
                <w:r>
                  <w:rPr>
                    <w:rFonts w:ascii="Cambria"/>
                    <w:sz w:val="18"/>
                  </w:rPr>
                  <w:t>Approved:</w:t>
                </w:r>
                <w:r>
                  <w:rPr>
                    <w:rFonts w:ascii="Cambria"/>
                    <w:spacing w:val="-5"/>
                    <w:sz w:val="18"/>
                  </w:rPr>
                  <w:t> </w:t>
                </w:r>
                <w:r>
                  <w:rPr>
                    <w:rFonts w:ascii="Cambria"/>
                    <w:sz w:val="18"/>
                  </w:rPr>
                  <w:t>February</w:t>
                </w:r>
                <w:r>
                  <w:rPr>
                    <w:rFonts w:ascii="Cambria"/>
                    <w:spacing w:val="-4"/>
                    <w:sz w:val="18"/>
                  </w:rPr>
                  <w:t> </w:t>
                </w:r>
                <w:r>
                  <w:rPr>
                    <w:rFonts w:ascii="Cambria"/>
                    <w:sz w:val="18"/>
                  </w:rPr>
                  <w:t>2017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%1."/>
      <w:lvlJc w:val="left"/>
      <w:pPr>
        <w:ind w:left="82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"/>
      <w:ind w:left="991" w:right="1008"/>
      <w:jc w:val="center"/>
    </w:pPr>
    <w:rPr>
      <w:rFonts w:ascii="Times New Roman" w:hAnsi="Times New Roman" w:eastAsia="Times New Roman" w:cs="Times New Roman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0" w:right="301" w:hanging="36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ACUC@drexel.edu" TargetMode="External"/><Relationship Id="rId2" Type="http://schemas.openxmlformats.org/officeDocument/2006/relationships/hyperlink" Target="http://www.drexel.edu/research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Zahradnik</dc:creator>
  <dcterms:created xsi:type="dcterms:W3CDTF">2021-09-14T17:48:34Z</dcterms:created>
  <dcterms:modified xsi:type="dcterms:W3CDTF">2021-09-14T17:48:34Z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2021-09-14T00:00:00Z</vt:filetime>
  </property>
</Properties>
</file>